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421</w:t>
      </w:r>
    </w:p>
    <w:p>
      <w:r>
        <w:t>Bundesgericht (BGE), 1994-12-23, DE</w:t>
      </w:r>
    </w:p>
    <w:p>
      <w:r>
        <w:rPr>
          <w:b/>
        </w:rPr>
        <w:t xml:space="preserve">Quelle: </w:t>
      </w:r>
      <w:r>
        <w:t>https://mcp.opencaselaw.ch/entscheid/bge_120 V 421</w:t>
      </w:r>
    </w:p>
    <w:p>
      <w:r>
        <w:t>FR: ATF 120 V 421</w:t>
      </w:r>
    </w:p>
    <w:p>
      <w:r>
        <w:t>IT: DTF 120 V 421</w:t>
      </w:r>
    </w:p>
    <w:p>
      <w:pPr>
        <w:pStyle w:val="Heading2"/>
      </w:pPr>
      <w:r>
        <w:t>Regeste</w:t>
      </w:r>
    </w:p>
    <w:p>
      <w:r>
        <w:t>Regeste Art. 6 IVG. Bei Doppelbürgern von Staaten, die beide mit der Schweiz ein Sozialversicherungsabkommen abgeschlossen haben, bestimmt sich der anwendbare Staatsvertrag nach Massgabe der tatsächlich vorwiegenden Staatsangehörigkeit.</w:t>
      </w:r>
    </w:p>
    <w:p>
      <w:pPr>
        <w:pStyle w:val="Heading2"/>
      </w:pPr>
      <w:r>
        <w:t>Erwägungen</w:t>
      </w:r>
    </w:p>
    <w:p>
      <w:r>
        <w:rPr>
          <w:b/>
        </w:rPr>
        <w:t>E. 2</w:t>
      </w:r>
    </w:p>
    <w:p>
      <w:r>
        <w:t>b) Entgegen der in der Verwaltungsgerichtsbeschwerde vertretenen Auffassung spielt es angesichts der unterschiedlichen Bestimmungen der zwischenstaatlichen Vereinbarungen sehr wohl eine Rolle, ob das italienisch-schweizerische oder das spanisch-schweizerische Abkommen zur Anwendung gelangt. So gelten nach Art. 7a des Abkommens zwischen der Schweizerischen Eidgenossenschaft und Spanien über Soziale Sicherheit vom 13. Oktober 1969, eingefügt durch Art. 1 Ziff. 5 des Zusatzabkommens vom 11. Juni 1982, für den Erwerb des Anspruchs auf eine schweizerische BGE 120 V 421 S. 422 Invalidenleistung spanische Staatsangehörige, die ihre Erwerbstätigkeit in der Schweiz infolge von Krankheit oder Unfall aufgeben müssen, deren Invalidität aber in diesem Land festgestellt wird, für die Dauer eines Jahres, gerechnet vom Zeitpunkt der Arbeitsunterbrechung mit nachfolgender Invalidität an, als Versicherte im Sinne der schweizerischen Gesetzgebung und haben Beiträge an die schweizerische Alters-, Hinterlassenen- und Invalidenversicherung zu entrichten, als hätten sie Wohnsitz in der Schweiz (unveröffentlichtes Urteil M. vom 23. Januar 1989). Im Gegensatz zum Erfordernis gemäss Art. 8 lit. a des schweizerisch-italienischen Abkommens muss sich ein spanischer Staatsangehöriger somit nicht bis zum Eintritt des Versicherungsfalles in der Schweiz aufgehalten haben. In BGE 112 V 89 hat das Eidg. Versicherungsgericht in einer Leistungsstreitigkeit ausgeführt, bei einem Doppelbürger, der neben dem ausländischen auch das Schweizer Bürgerrecht besitzt, finde zur Bestimmung des massgebenden Rechts das Prinzip der überwiegenden oder effektiven Staatsangehörigkeit Anwendung. Demnach ist in jedem Einzelfall die Intensität aller wesentlichen Beziehungen mit dem einen oder andern Staat zu berücksichtigen ( BGE 112 V 93 Erw. 2b). Sofern mindestens bezüglich eines der Staaten eine Vereinbarung mit der Schweiz besteht, ist bei Doppelbürgern mit nichtschweizerischen Bürgerrechten analog zu Art. 23 Abs. 2 IPRG die Angehörigkeit zu jenem Staat entscheidend, mit welchem die Person am engsten verbunden ist. In BGE 119 V 1 , wo es um den Leistungsanspruch einer Angehörigen zweier ausländischer Staaten ging - wobei die Schweiz nur mit einem davon ein Sozialversicherungsabkommen abgeschlossen hatte -, ist das Gericht allerdings vom Grundsatz der vorwiegenden Staatsangehörigkeit abgewichen und hat alternativ entweder die Staatsangehörigkeit während des Zeitraumes der Entrichtung von Beiträgen an die schweizerische Sozialversicherung oder bei der Entstehung des Leistungsanspruchs als ausschlaggebend bezeichnet ( BGE 119 V 5 Erw. 2c). Bei einem Doppelbürger Vertragsstaat/Nichtvertragsstaat genügt es demnach für die Begründung eines Anspruchs auf Leistungen der schweizerischen Sozialversicherung, dass er während mindestens eines Jahres Beiträge geleistet hat ( Art. 29 Abs. 1 AHVG ) und in einem der beiden genannten Zeitpunkte die schweizerische Staatsangehörigkeit oder jene eines Staates, mit welchem die Schweiz ein Abkommen über Soziale Sicherheit getroffen hat, besitzt oder - während der Beitragszeit - besessen hat. Im vorliegenden Fall, wo die Staatsangehörigkeiten zweier Vertragsstaaten (Italien und BGE 120 V 421 S. 423 Spanien) zur Diskussion stehen, bleibt hingegen, wie bei den Doppelbürgern Schweiz/Vertragsstaat (vgl. BGE 112 V 89 ), der Grundsatz der tatsächlich vorwiegenden Staatsangehörigkeit massgebend.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